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 โดยพระราชบัญญัติจัดหางานและคุ้มครองคนหางาน (ฉบับที่ 2) พ.ศ. 2537 (เว็บไซต์กรมพัฒนาฝีมือแรงงาน www.dsd.go.th)</w:t>
        <w:br/>
        <w:t xml:space="preserve"/>
        <w:br/>
        <w:t xml:space="preserve">กรณีการสูญหายหรือถูกทำลายให้ยื่นคำขอพร้อมเอกสารหลักฐานตามแบบ ทค. 4 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สถาบันพัฒนาฝีมือแรงงานหรือสำนักงานพัฒนาฝีมือแรงงาน แล้วแต่กรณี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(ที่อยู่/โทรศัพท์ สามารถค้นหาได้ทางเว็บไซต์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สรุปผลการตรวจสอบ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(เจ้าหน้าที่ถ่ายสำเนาอกสารเอง))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แบบใบคำขอใบแทนใบอนุญาต แบบทค.4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การขอใบแทนใบอนุญาต คำขอ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การขอใบแทนใบอนุญาต ฉบับละ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2,500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แบบทค 4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 จัดหางานและคุ้มครองคนหางาน พ.ศ. 2528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 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7.0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การออกใบแทนใบอนุญาต การดำเนินการทดสอบฝีมือคนหางานเพื่อไปทำงานในต่างประเทศ (สถานทดสอบฝีมือคนหางาน) 15/08/2562 14:01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