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14:52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 สามารถยื่นคำขอต่อนายทะเบียนพร้อมด้วยเอกสารหลักฐานตามที่กำหนดไว้ในแบบ ทค.1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ขั้นตอนการขอใบอนุญาต</w:t>
              <w:br/>
              <w:t xml:space="preserve">1. ผู้มีความประสงค์ยื่นคำขอและตรวจสอบความถูกต้องครบถ้วนของเอกสาร </w:t>
              <w:br/>
              <w:t xml:space="preserve">2. นัดหมายคณะทำงานตรวจสอบ และผู้ยื่นคำขอ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ความพร้อมของผู้ยื่นคำขอเพื่อกำหนดวันเข้าตรวจสอบอีกครั้งหนึ่ง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แบบคำขอรับใบอนุญาตดำเนินการทดสอบฝีมือคนหางาน (แบบ ทค.1)           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การขอใบอนุญาต คำขอ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การขอใบอนุญาต ใบอนุญาตดำเนินการทดสอบฝีมือคนหางาน ฉบับละ                 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5,000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แบบทค.1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