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  <w:br/>
        <w:t xml:space="preserve"/>
        <w:br/>
        <w:t xml:space="preserve">1. เงื่อนไขการขออนุญาต</w:t>
        <w:br/>
        <w:t xml:space="preserve"/>
        <w:br/>
        <w:t xml:space="preserve"> 1.1 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เสนอต่อคณะกรรมการส่งเสริมการพัฒนาฝีมือแรงงาน(ผ่านนายทะเบียน) 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20 เมษายน 2548</w:t>
        <w:br/>
        <w:t xml:space="preserve"/>
        <w:br/>
        <w:t xml:space="preserve">2. การพิจารณาความจำเป็นและความเหมาะสม</w:t>
        <w:br/>
        <w:t xml:space="preserve"/>
        <w:br/>
        <w:t xml:space="preserve"> 2.1 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  <w:br/>
        <w:t xml:space="preserve"/>
        <w:br/>
        <w:t xml:space="preserve"> 2.2 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รับเรื่องคำขอฯ /ตรวจสอบความครบถ้วนของเอกสารหลักฐานขั้นต้น/ลงทะเบียนเอกสารที่ผ่านการตรวจ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58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(ขั้นตอน ระยะเวลาอาจคาดเคลื่อนได้จาก</w:t>
              <w:br/>
              <w:t xml:space="preserve"> กำหนดวาระการประชุมของคณะกรรมการส่งเสริมการพัฒนาฝีมือแรงงาน)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นายทะเบียนออกหนังสืออนุญาตให้แก่ผู้ยื่นคำขอ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60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(แบบ  ศร 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 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(กองส่งเสริมการพัฒนาฝีมือแรงงาน กรมพัฒนาฝีมือแรงงาน ถนนมิตรไมตรี ดินแดง กรุงเทพฯ 10400 โทรศัพท์ : 02 245 1707 ต่อ 415,416,417 / ติดต่อด้วยตนเอง ณ หน่วยงาน)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สามารถดาวโหลดเอกสารได้ที่http://home.dsd.go.th/sdpaa/index.php?option=com_content&amp;amp;view=article&amp;amp;id=123&amp;amp;Itemid=125</w:t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